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A" w:rsidRDefault="002B7ECA"/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2"/>
        <w:gridCol w:w="2446"/>
        <w:gridCol w:w="1745"/>
        <w:gridCol w:w="4567"/>
      </w:tblGrid>
      <w:tr w:rsidR="00492434" w:rsidRPr="00F25C7A" w:rsidTr="00D15E7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4" w:rsidRPr="00F25C7A" w:rsidRDefault="00492434" w:rsidP="00492434">
            <w:pPr>
              <w:numPr>
                <w:ilvl w:val="0"/>
                <w:numId w:val="1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34" w:rsidRPr="00F25C7A" w:rsidRDefault="00492434" w:rsidP="00D15E7C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Umiejętności Rolniczych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34" w:rsidRPr="00F25C7A" w:rsidRDefault="00492434" w:rsidP="00D15E7C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el</w:t>
            </w:r>
            <w:proofErr w:type="spellEnd"/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. c. + F. </w:t>
            </w:r>
            <w:proofErr w:type="spellStart"/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el.c</w:t>
            </w:r>
            <w:proofErr w:type="spellEnd"/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(blok: architektura krajobrazu - wyłącznie kandydaci, których </w:t>
            </w:r>
            <w:proofErr w:type="spellStart"/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portfolio</w:t>
            </w:r>
            <w:proofErr w:type="spellEnd"/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 prac oceniono pozytywnie)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bioinżynieria produkcji żywności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zwierzęca, technologia żywności)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gastronomia - </w:t>
            </w: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sztuka kulinarna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technologia żywności)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zasobami wodnymi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leśnictwo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leśnictwo)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ogrodnictwo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produkcja roślinna, ogrodnictwo, ochrona i inżynieria środowiska)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rolnictwo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produkcja roślinna, ogrodnictwo, ochrona i inżynieria środowiska);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technika rolnicza i leśna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mechanizacja rolnictwa, leśnictwo)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technologia żywności)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weterynaria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weterynaria)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agrobiznes)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produkcja zwierzęca)</w:t>
            </w:r>
          </w:p>
          <w:p w:rsidR="00492434" w:rsidRPr="00F25C7A" w:rsidRDefault="00492434" w:rsidP="00492434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</w:tbl>
    <w:p w:rsidR="00492434" w:rsidRDefault="00492434"/>
    <w:p w:rsidR="00492434" w:rsidRPr="001F672E" w:rsidRDefault="00492434" w:rsidP="00492434">
      <w:pPr>
        <w:tabs>
          <w:tab w:val="left" w:pos="426"/>
        </w:tabs>
        <w:spacing w:before="20" w:after="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</w:pP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  <w:t xml:space="preserve">UCHWAŁA </w:t>
      </w:r>
      <w:r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  <w:t xml:space="preserve">Nr </w:t>
      </w:r>
      <w:r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  <w:t xml:space="preserve"> 263</w:t>
      </w:r>
    </w:p>
    <w:p w:rsidR="00492434" w:rsidRPr="001F672E" w:rsidRDefault="00492434" w:rsidP="00492434">
      <w:pPr>
        <w:tabs>
          <w:tab w:val="left" w:pos="426"/>
        </w:tabs>
        <w:spacing w:before="20" w:after="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</w:pP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</w:rPr>
        <w:t>Senatu Uniwersytetu Warmińsko-Mazurskiego w Olsztynie</w:t>
      </w:r>
    </w:p>
    <w:p w:rsidR="00492434" w:rsidRPr="001F672E" w:rsidRDefault="00492434" w:rsidP="00492434">
      <w:pPr>
        <w:spacing w:after="60" w:line="240" w:lineRule="atLeast"/>
        <w:ind w:left="709" w:hanging="709"/>
        <w:jc w:val="center"/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</w:pP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>z dnia</w:t>
      </w:r>
      <w:r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 xml:space="preserve"> 26 stycznia </w:t>
      </w: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>201</w:t>
      </w:r>
      <w:r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>8</w:t>
      </w:r>
      <w:r w:rsidRPr="001F672E"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 xml:space="preserve"> r</w:t>
      </w:r>
      <w:r>
        <w:rPr>
          <w:rFonts w:ascii="Times New Roman" w:eastAsia="Batang" w:hAnsi="Times New Roman" w:cs="Times New Roman"/>
          <w:b/>
          <w:bCs/>
          <w:color w:val="0000FF"/>
          <w:sz w:val="26"/>
          <w:szCs w:val="26"/>
          <w:lang w:eastAsia="pl-PL"/>
        </w:rPr>
        <w:t>oku</w:t>
      </w:r>
    </w:p>
    <w:p w:rsidR="00492434" w:rsidRPr="002039BA" w:rsidRDefault="00492434" w:rsidP="00492434">
      <w:pPr>
        <w:tabs>
          <w:tab w:val="left" w:pos="567"/>
        </w:tabs>
        <w:spacing w:after="60" w:line="240" w:lineRule="auto"/>
        <w:ind w:left="709" w:firstLine="851"/>
        <w:jc w:val="both"/>
        <w:rPr>
          <w:rFonts w:ascii="Times New Roman" w:eastAsia="Batang" w:hAnsi="Times New Roman" w:cs="Times New Roman"/>
          <w:bCs/>
          <w:sz w:val="14"/>
          <w:lang w:eastAsia="pl-PL"/>
        </w:rPr>
      </w:pP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1134" w:hanging="1134"/>
        <w:jc w:val="both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 sprawie</w:t>
      </w:r>
      <w:r w:rsidRPr="001F672E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ab/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zasad przyjmowania na I rok studiów w Uniwersytecie Warmińsko-Mazurskim w Olsztynie w roku akademickim 201</w:t>
      </w:r>
      <w:r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/201</w:t>
      </w:r>
      <w:r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, 201</w:t>
      </w:r>
      <w:r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/20</w:t>
      </w:r>
      <w:r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 xml:space="preserve"> oraz 20</w:t>
      </w:r>
      <w:r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>20/2021</w:t>
      </w:r>
      <w:r w:rsidRPr="00A13764">
        <w:rPr>
          <w:rFonts w:ascii="Times New Roman" w:eastAsia="Batang" w:hAnsi="Times New Roman" w:cs="Times New Roman"/>
          <w:b/>
          <w:bCs/>
          <w:color w:val="0000FF"/>
          <w:sz w:val="24"/>
          <w:szCs w:val="24"/>
          <w:lang w:eastAsia="pl-PL"/>
        </w:rPr>
        <w:t xml:space="preserve"> laureatów i finalistów olimpiad stopnia centralnego</w:t>
      </w:r>
    </w:p>
    <w:p w:rsidR="00492434" w:rsidRDefault="00492434" w:rsidP="00492434">
      <w:pPr>
        <w:tabs>
          <w:tab w:val="left" w:pos="567"/>
        </w:tabs>
        <w:spacing w:after="6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</w:p>
    <w:p w:rsidR="00492434" w:rsidRPr="002039BA" w:rsidRDefault="00492434" w:rsidP="00492434">
      <w:pPr>
        <w:tabs>
          <w:tab w:val="left" w:pos="567"/>
        </w:tabs>
        <w:spacing w:after="60" w:line="240" w:lineRule="auto"/>
        <w:ind w:left="709" w:firstLine="851"/>
        <w:jc w:val="both"/>
        <w:rPr>
          <w:rFonts w:ascii="Times New Roman" w:eastAsia="Batang" w:hAnsi="Times New Roman" w:cs="Times New Roman"/>
          <w:bCs/>
          <w:sz w:val="16"/>
          <w:szCs w:val="24"/>
          <w:lang w:eastAsia="pl-PL"/>
        </w:rPr>
      </w:pPr>
    </w:p>
    <w:p w:rsidR="00492434" w:rsidRPr="001F672E" w:rsidRDefault="00492434" w:rsidP="00492434">
      <w:pPr>
        <w:tabs>
          <w:tab w:val="left" w:pos="567"/>
        </w:tabs>
        <w:spacing w:after="6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Na podstawie art. 169 ust. 8 i ust. 9 ustawy z dn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ia 27 lipca 2005 roku – Prawo o 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szkolnictwie wyższym</w:t>
      </w:r>
      <w:r w:rsidRPr="001F672E">
        <w:rPr>
          <w:rFonts w:ascii="Times New Roman" w:eastAsia="Batang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(tj. Dz.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U. z 201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7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2183,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. zm.), na wniosek Senackiej Komisji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ds.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Dydaktycznych, Senat postanawia, co następuje: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§1</w:t>
      </w:r>
      <w:bookmarkStart w:id="0" w:name="_GoBack"/>
      <w:bookmarkEnd w:id="0"/>
    </w:p>
    <w:p w:rsidR="00492434" w:rsidRDefault="00492434" w:rsidP="00492434">
      <w:pPr>
        <w:spacing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Uchwała określa uprawnienia przysługujące laureatom i finalistom olimpiad i konkursów stopnia centralnego przy przyjęciu na I rok studiów w Uniwersytecie.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§2</w:t>
      </w:r>
    </w:p>
    <w:p w:rsidR="00492434" w:rsidRPr="001F672E" w:rsidRDefault="00492434" w:rsidP="00492434">
      <w:pPr>
        <w:spacing w:after="6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Olimpiadami stopnia centralnego są:</w:t>
      </w:r>
    </w:p>
    <w:p w:rsidR="00492434" w:rsidRPr="001F672E" w:rsidRDefault="00492434" w:rsidP="00492434">
      <w:pPr>
        <w:spacing w:after="60" w:line="240" w:lineRule="auto"/>
        <w:ind w:left="568" w:hanging="284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1)</w:t>
      </w: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>olimpiady przedmiotowe,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2)</w:t>
      </w: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>olimpiady z zakresu określonej dziedziny wiedzy,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3)</w:t>
      </w: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>konkursy o zasięgu centralnym, odpowiadające tematycznie kierunkom studiów prowadzonych w Uniwersytecie.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§3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Wykaz olimpiad oraz konkursów, których laureaci i finaliści uprawnieni są do przyjęcia na kierunek studiów w Uniwersytecie z pominięciem postępowania kwalifikacyjnego określa załącznik do Uchwały.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§4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Zasady ustalania laureatów i finalistów olimpiad oraz konkursów określają odrębne przepisy.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lastRenderedPageBreak/>
        <w:t>§5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Podstawą uzyskania wymienionych w uchwale uprawnień jest dokument wydany przez Główny Komitet Olimpiady lub Konkursu, opatrzony numerem porządkowym, stwierdzający uzyskaną przez kandydata na studia lokatę (zajęte miejsce) w eliminacjach centralnych oraz status kandydata (laureat lub finalista).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§6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Z określonych w niniejszej uchwale uprawnień laureaci i finaliści mogą skorzystać tylko jeden raz – w roku uzyskania świadectwa dojrzałości lub w roku następnym – niezależnie od roku uzyskania tytułu laureata lub finalisty.</w:t>
      </w:r>
    </w:p>
    <w:p w:rsidR="00492434" w:rsidRDefault="00492434" w:rsidP="00492434">
      <w:pPr>
        <w:tabs>
          <w:tab w:val="left" w:pos="567"/>
        </w:tabs>
        <w:spacing w:after="6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§7</w:t>
      </w:r>
    </w:p>
    <w:p w:rsidR="00492434" w:rsidRPr="001F672E" w:rsidRDefault="00492434" w:rsidP="00492434">
      <w:pPr>
        <w:tabs>
          <w:tab w:val="left" w:pos="567"/>
        </w:tabs>
        <w:spacing w:after="6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672E">
        <w:rPr>
          <w:rFonts w:ascii="Times New Roman" w:eastAsia="Batang" w:hAnsi="Times New Roman" w:cs="Times New Roman"/>
          <w:sz w:val="24"/>
          <w:szCs w:val="24"/>
          <w:lang w:eastAsia="pl-PL"/>
        </w:rPr>
        <w:t>Uchwała wchodzi w życie z dniem podjęcia.</w:t>
      </w:r>
    </w:p>
    <w:p w:rsidR="00492434" w:rsidRPr="00776ADB" w:rsidRDefault="00492434" w:rsidP="00492434">
      <w:pPr>
        <w:tabs>
          <w:tab w:val="left" w:pos="5805"/>
          <w:tab w:val="center" w:pos="6165"/>
        </w:tabs>
        <w:spacing w:after="60" w:line="240" w:lineRule="auto"/>
        <w:ind w:left="5387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Pr="00776AD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Przewodniczący Senatu</w:t>
      </w:r>
    </w:p>
    <w:p w:rsidR="00492434" w:rsidRPr="00776ADB" w:rsidRDefault="00492434" w:rsidP="00492434">
      <w:pPr>
        <w:tabs>
          <w:tab w:val="left" w:pos="5805"/>
          <w:tab w:val="center" w:pos="6165"/>
        </w:tabs>
        <w:spacing w:after="60" w:line="240" w:lineRule="auto"/>
        <w:ind w:left="5387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76AD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                     Rektor</w:t>
      </w:r>
    </w:p>
    <w:p w:rsidR="00492434" w:rsidRPr="00776ADB" w:rsidRDefault="00492434" w:rsidP="00492434">
      <w:pPr>
        <w:tabs>
          <w:tab w:val="left" w:pos="5805"/>
          <w:tab w:val="center" w:pos="6165"/>
        </w:tabs>
        <w:spacing w:after="60" w:line="240" w:lineRule="auto"/>
        <w:ind w:left="5387" w:hanging="709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492434" w:rsidRPr="00492434" w:rsidRDefault="00492434" w:rsidP="00492434">
      <w:pPr>
        <w:tabs>
          <w:tab w:val="left" w:pos="5805"/>
          <w:tab w:val="center" w:pos="6165"/>
        </w:tabs>
        <w:spacing w:after="60" w:line="240" w:lineRule="auto"/>
        <w:ind w:left="5387"/>
        <w:jc w:val="both"/>
        <w:rPr>
          <w:rFonts w:ascii="Times New Roman" w:eastAsia="Batang" w:hAnsi="Times New Roman" w:cs="Times New Roman"/>
          <w:b/>
          <w:i/>
          <w:color w:val="0000FF"/>
          <w:sz w:val="24"/>
          <w:szCs w:val="24"/>
          <w:lang w:eastAsia="pl-PL"/>
        </w:rPr>
        <w:sectPr w:rsidR="00492434" w:rsidRPr="00492434" w:rsidSect="00B8005B">
          <w:pgSz w:w="11906" w:h="16838"/>
          <w:pgMar w:top="567" w:right="1418" w:bottom="709" w:left="1418" w:header="709" w:footer="170" w:gutter="0"/>
          <w:cols w:space="708"/>
          <w:docGrid w:linePitch="360"/>
        </w:sectPr>
      </w:pPr>
      <w:r w:rsidRPr="00302B23"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  <w:t xml:space="preserve">Prof. </w:t>
      </w:r>
      <w:r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  <w:t>d</w:t>
      </w:r>
      <w:r w:rsidRPr="00302B23"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  <w:t xml:space="preserve">r hab. </w:t>
      </w:r>
      <w:r w:rsidRPr="00776ADB">
        <w:rPr>
          <w:rFonts w:ascii="Times New Roman" w:eastAsia="Batang" w:hAnsi="Times New Roman" w:cs="Times New Roman"/>
          <w:b/>
          <w:i/>
          <w:color w:val="0000FF"/>
          <w:sz w:val="24"/>
          <w:szCs w:val="24"/>
          <w:lang w:eastAsia="pl-PL"/>
        </w:rPr>
        <w:t>Ryszard J. GÓRECKI</w:t>
      </w:r>
    </w:p>
    <w:p w:rsidR="00492434" w:rsidRDefault="00492434"/>
    <w:sectPr w:rsidR="00492434" w:rsidSect="002B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234"/>
    <w:multiLevelType w:val="hybridMultilevel"/>
    <w:tmpl w:val="F71CB6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20E6E"/>
    <w:multiLevelType w:val="hybridMultilevel"/>
    <w:tmpl w:val="A134B8B4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434"/>
    <w:rsid w:val="002B7ECA"/>
    <w:rsid w:val="004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2385</Characters>
  <Application>Microsoft Office Word</Application>
  <DocSecurity>0</DocSecurity>
  <Lines>19</Lines>
  <Paragraphs>5</Paragraphs>
  <ScaleCrop>false</ScaleCrop>
  <Company>w Olsztynie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2018-06-29T10:28:00Z</dcterms:created>
  <dcterms:modified xsi:type="dcterms:W3CDTF">2018-06-29T10:31:00Z</dcterms:modified>
</cp:coreProperties>
</file>